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301 vom 27. Mai 2024</w:t>
      </w:r>
    </w:p>
    <w:p>
      <w:r>
        <w:t>FR Kantonsgericht, 2024-05-27, FR</w:t>
      </w:r>
    </w:p>
    <w:p>
      <w:r>
        <w:rPr>
          <w:b/>
        </w:rPr>
        <w:t xml:space="preserve">Quelle: </w:t>
      </w:r>
      <w:r>
        <w:t>https://mcp.opencaselaw.ch/entscheid/fr_gerichte_101 2023 301</w:t>
      </w:r>
    </w:p>
    <w:p>
      <w:r>
        <w:t>FR: FR_GERICHTE 101 2023 301 du 27 mai 2024</w:t>
      </w:r>
    </w:p>
    <w:p>
      <w:r>
        <w:t>IT: FR_GERICHTE 101 2023 301 del 27 maggio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provisionnelles (art. 248 let. d CPC) – est de 10 jours (art. 314 al. 1 CPC). En l'espèce, la décision attaquée a été notifiée au mandataire de l'appelante le 18 août 2023. Déposé le 24 août 2023, l'appel a dès lors été interjeté en temps utile. Le mémoire d'appel est de plus dûment motivé et doté de conclusions. En outre, vu son objet, à savoir des mesures provisionnelles en lien avec l'inscription d'une restriction du droit d'aliéner portant sur deux immeubles pour lesquels un pacte d'emption d'une valeur de CHF 276'640.- a été conclu, la procédure est de nature pécuniaire et la valeur litigieuse largement supérieure à CHF 10'000.-. Il s'ensuit la recevabilité de l'appel.</w:t>
      </w:r>
    </w:p>
    <w:p>
      <w:r>
        <w:rPr>
          <w:b/>
        </w:rPr>
        <w:t>E. 1.2</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1.3</w:t>
      </w:r>
    </w:p>
    <w:p>
      <w:r>
        <w:t>La procédure sommaire (art. 252 ss CPC) s'applique aux causes de mesures provisionnelles (art. 248 let. d CPC). La maxime des débats est applicable (art. 55 al. 1 CPC et art. 255 CPC a contrario), de même que le principe de disposition (art. 58 al. 1 CPC).</w:t>
      </w:r>
    </w:p>
    <w:p>
      <w:r>
        <w:t>Tribunal cantonal TC Page 4 de 7</w:t>
      </w:r>
    </w:p>
    <w:p>
      <w:r>
        <w:rPr>
          <w:b/>
        </w:rPr>
        <w:t>E. 1.4</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l'espèce, les parties ne produisent pas de faits et de moyens de preuve nouveaux, si bien qu'il n'y a pas lieu de s'attarder sur cette question.</w:t>
      </w:r>
    </w:p>
    <w:p>
      <w:r>
        <w:rPr>
          <w:b/>
        </w:rPr>
        <w:t>E. 1.5</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rPr>
          <w:b/>
        </w:rPr>
        <w:t>E. 1.6</w:t>
      </w:r>
    </w:p>
    <w:p>
      <w:r>
        <w:t>Vu l'objet du litige, la valeur litigieuse pour un recours en matière civile au Tribunal fédéral paraît supérieure à CHF 30'000.- (art. 51 al. 1 let. a et art. 74 al. 1 LTF).</w:t>
      </w:r>
    </w:p>
    <w:p>
      <w:r>
        <w:rPr>
          <w:b/>
        </w:rPr>
        <w:t>E. 2</w:t>
      </w:r>
    </w:p>
    <w:p>
      <w:r>
        <w:t>Dans des griefs de droit formel, l'appelante fait valoir que son droit d'être entendue a été violé. Elle estime que le Président du tribunal n'est arbitrairement pas entré en matière sur ses réquisitions de preuves du 27 avril 2023 et n'expose pas sur la base de quels moyens de preuve il a retenu que les conditions de l'art. 21 al. 1 CO étaient remplies. En l'espèce, l'appelante perd de vue le fait que le degré de preuve, dans le cadre d'une procédure de mesures provisionnelles, est celui de la vraisemblance (consid. 3.1 ci-après). Le juge peut ainsi se limiter à la vraisemblance des faits et à l’examen sommaire du droit, en se fondant sur les moyens de preuve immédiatement disponibles, tout en ayant l’obligation de peser les intérêts respectifs du requérant et de l’intimé. Or, il ressort du dossier de la cause que le Président du tribunal disposait de suffisamment de pièces immédiatement disponibles pour ordonner des mesures provisionnelles, en particulier le contrat de prêt contenant notamment les informations sur le taux d'intérêt appliqué, le pacte d'emption mentionnant la valeur d'acquisition des immeubles, tout comme divers échanges de correspondance entre les parties (pièces 1, 2, 14, 17 ss du bordereau du 4 avril 2023 et pièce 108 du bordereau du 27 avril 2023), compte tenu du fait que celles-ci ne tranchent pas définitivement le litige, d'autres pièces pouvant être administrées dans la procédure au fond. S'agissant de la motivation, force est de constater en l’espèce que le Président du tribunal n’a pas violé le droit d’être entendue de la recourante – duquel est déduit notamment le devoir pour le juge de motiver sa décision, afin que le destinataire puisse en saisir la portée, le cas échéant, l'attaquer en connaissance de cause et que l'autorité de recours puisse exercer son contrôle.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(arrêt TF 5A_192/2021 du 18 novembre 2021 consid. 5.1.2 et les références citées; arrêt TC FR 101 2022 293 du 3 mai 2023 consid. 4). En l’espèce, la décision attaquée expose les bases légales et la jurisprudence topique, ainsi que les pièces sur lesquelles le Président du tribunal s'est fondé pour prendre sa décision. Sur cette base, l'appelante était en mesure de comprendre les motifs de la décision et de l'attaquer utilement, ce qu'elle a d'ailleurs fait par le dépôt d'un mémoire circonstancié. Dans ces conditions, la motivation apparaît suffisante au stade des mesures provisionnelles.</w:t>
      </w:r>
    </w:p>
    <w:p>
      <w:r>
        <w:rPr>
          <w:b/>
        </w:rPr>
        <w:t>E. 3.1</w:t>
      </w:r>
    </w:p>
    <w:p>
      <w:r>
        <w:t>À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w:t>
      </w:r>
    </w:p>
    <w:p>
      <w:r>
        <w:t>Tribunal cantonal TC Page 5 de 7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139 III 86 consid. 4.2). S’agissant de la vraisemblance du droit prétendu, le requérant doit apporter des éléments rendant plausibles, d'une part, les faits à l'appui de sa prétention et, d'autre part, que celle-ci fonde vraisemblablement un droit ; il doit ainsi rendre vraisemblable que le droit matériel invoqué existe et que le procès au fond a des chances de succès (CR CPC – BOHNET, 2e éd. 2019, art. 261 n. 7 et les références citées). À cet égard, le Message (FF 2006 II 6961) cite comme exemple la vraisemblance du droit à la délivrance de l'objet d'une vente que le défendeur s'apprête à expédier, en violation du contrat, à un tiers à l'étranger. La notion de préjudice difficilement réparable recoupe tout dommage, qu'il soit patrimonial ou immatériel, qui serait difficile à réparer si les mesures provisionnelles requises n'étaient pas ordonnées immédiatement ; elle est en principe réalisée même si le dommage peut être réparé en argent et peut résulter du seul écoulement du temps pendant le procès (ATF 138 III 378 consid. 6.3). Ce risque suppose l'urgence et implique ainsi de rendre vraisemblable qu'un danger imminent menace les droits du requérant (CR CPC – BOHNET, art. 261 n. 10 et 12). Si les conditions de l'art. 261 al. 1 CPC sont remplies, le tribunal peut ordonner toute mesure provisionnelle propre à prévenir ou à faire cesser le préjudice, notamment une interdiction (art. 262 let. a CPC), l'ordre de cesser un état de fait illicite (art. 262 let. b CPC) ou la fourniture d'une prestation en nature (art. 262 let. d CPC). La mesure prononcée doit être proportionnée au risque d'atteinte et son choix doit tenir compte des intérêts de l'adversaire : la pesée d'intérêts qui s'impose alors doit prendre en compte le droit présumé du requérant à la mesure requise, d'une part, et les conséquences que celle-ci entraînerait pour le requis, d'autre part (CR CPC – BOHNET, art. 261 n. 17).</w:t>
      </w:r>
    </w:p>
    <w:p>
      <w:r>
        <w:rPr>
          <w:b/>
        </w:rPr>
        <w:t>E. 3.2</w:t>
      </w:r>
    </w:p>
    <w:p>
      <w:r>
        <w:t>L’appelante reproche au Président du tribunal d’avoir prononcé les mesures provisionnelles contestées alors que les conditions légales n’en sont pas remplies. Elle fait valoir en substance que les prescriptions légales relatives au taux d'intérêt sont de nature dispositive, que les parties peuvent librement fixer la quotité du taux d'intérêt et qu'un taux d'intérêt de 18% est admissible selon la jurisprudence, si bien qu'on ne pouvait pas déduire un quelconque caractère usuraire du taux d'intérêt convenu de 15%. L'appelante conteste également le fait que le Président du tribunal ait retenu que le prix des immeubles a été faiblement estimé et ajoute qu'il n'existe aucun élément permettant de retenir, même au degré de la vraisemblance, une quelconque exploitation intentionnelle de l'intimée. Elle allègue enfin que si elle avait eu connaissance de la situation financière défavorable de l'intimée, elle ne lui aurait à l'évidence jamais prêté de l'argent. Quant à l'intimée, elle soutient que, en raison de la commission récurrente de 3%, c'est bien un taux d'intérêt de 18% qui a été convenu et non un taux de 15% comme allégué par l'intimée. Elle ajoute que, contrairement à ce que prétend l'appelante, le Président du tribunal ne s'est pas fondé uniquement sur le taux d'intérêt très élevé et inusuel de 18% pour conclure au caractère usuraire de l'opération litigieuse, mais également sur les droits d'emption permettant l'acquisition de deux immeubles à vil prix et le prélèvement immédiat de la première tranche d'intérêts sur le capital versé, l'intimée n'ayant ainsi jamais perçu l'intégralité du prêt. Elle allègue enfin que l'appelante était informée de sa situation financière difficile et que, en tant que professionnelle du milieu, elle ne peut sérieusement soutenir qu'elle a conclu un contrat de prêt, sans se renseigner au préalable sur la</w:t>
      </w:r>
    </w:p>
    <w:p>
      <w:r>
        <w:t>Tribunal cantonal TC Page 6 de 7 situation économique de sa débitrice. Elle soutient enfin que c'est en raison de sa situation financière délicate que l'appelante a pu lui imposer des conditions contractuelles tout à fait inusuelles.</w:t>
      </w:r>
    </w:p>
    <w:p>
      <w:r>
        <w:rPr>
          <w:b/>
        </w:rPr>
        <w:t>E. 3.3</w:t>
      </w:r>
    </w:p>
    <w:p>
      <w:r>
        <w:t>Les parties contractuelles peuvent en principe fixer librement le taux d’intérêt (art. 73 al. 1 CO), mais sont soumises aux limites de l’autonomie privée (arrêt TF 4A_69/2014 du 28 avril 2014 consid. 6.3.2). Sont ainsi réservées les dispositions de droit public restreignant la liberté conventionnelle en la matière (art. 73 al. 2 CO). De même, une convention peut se heurter au devoir de respecter les mœurs (art. 20 CO) ou à l’interdiction d’usure (art. 21 CO). Après analyse du cas qui lui était soumis, le Tribunal fédéral a jugé conforme au droit fédéral la solution retenue par l’instance précédente ayant déclaré partiellement nuls les intérêts convenus par les parties, dans la mesure où le taux d’intérêt dépassait 18%, en retenant que des intérêts étaient dus à concurrence de ce dernier taux (arrêt TF 4A_69/2014 du 28 avril 2014 consid. 6.3.3). Dans des arrêts ultérieurs, le Tribunal fédéral a rappelé cette jurisprudence (arrêts TF 5A_131/2018 du 7 décembre 2018 consid. 3.2.1 et 3.3 et réf. citées; 4A_350/2020 du 12 mars 2021 consid. 5.2), tout en précisant que la limite des 18% n’est pas absolue, mais qu’elle constitue une ligne directrice et qu’il convient de prendre en considération notamment le risque de perte du prêteur, de sorte que les tribunaux cantonaux disposent d’un certain pouvoir d’appréciation. En l'espèce, l'appelante fait valoir qu'un taux d'intérêt de 15% et un taux de 3% pour les frais de courtage ont été convenus, et non pas un unique taux d'intérêt de 18%, si bien qu'un taux d'intérêt de 15% ne peut pas être considéré comme usuraire. L'avis de l'appelante ne peut toutefois pas être suivi. En effet, c'est effectivement un taux de 18% qui semble avoir été convenu, les frais de courtage étant récurrents alors que, dans la conception classique, ils ne sont dus qu'une seule et unique fois. Quand bien même un taux d'intérêt de 18% pourrait être admissible selon la jurisprudence du Tribunal fédéral, d'autres éléments conduisent à retenir qu'il ne peut être exclu que le contrat conclu entre les parties présente un caractère usuraire au sens de l'art. 21 al. 1 CO. Il en va notamment ainsi des garanties sous forme de droit d'emption sur deux immeubles dont le prix tel que fixé dans le pacte d'emption paraît sous-estimé, l'intimée ayant reçu des offres plus élevées (pièce 17 du bordereau du 4 avril 2023), mais aussi du fait que l'intimée n'a jamais perçu l'intégralité de la somme prêtée, la première tranche d'intérêts ayant été directement déduite. La commission de courtage bénéficie en outre à l'apporteur d'affaires dont le gérant unique porte non seulement le même nom de famille – peu courant – que la gérante unique du prêteur, mais semble également être son frère (pièce 14 du bordereau du 4 avril 2023). Par ailleurs, il semble également peu probable que l'appelante n'était pas au courant de la situation financière délicate de l'intimée, si bien qu'il ne peut pas être exclu que celle-ci a abusé de la situation pour conclure avec elle un contrat de prêt disproportionné, conditionné à la mise en garantie de deux immeubles pour un prix sous-évalué. Compte tenu de ce qui précède, l'appréciation du Président du tribunal ne prête pas le flanc à la critique et c'est à juste titre qu'il a retenu qu'il ne peut pas être exclu que le contrat conclu entre les parties présente un caractère usuraire.</w:t>
      </w:r>
    </w:p>
    <w:p>
      <w:r>
        <w:rPr>
          <w:b/>
        </w:rPr>
        <w:t>E. 3.4</w:t>
      </w:r>
    </w:p>
    <w:p>
      <w:r>
        <w:t>S'agissant de la condition du risque de préjudice difficilement réparable, c'est à raison que le Président du tribunal a considéré qu'il se justifie d'éviter que la propriété des immeubles puisse être transférée avant qu'une décision sur le fond ne soit rendue, l'intimée ayant rendu vraisemblable qu'une potentielle revente des immeubles à un tiers de bonne foi protégé par l'art. 973 CC pouvait lui causer un tel préjudice. Les parties ne contestent par ailleurs pas ce point en procédure d'appel.</w:t>
      </w:r>
    </w:p>
    <w:p>
      <w:r>
        <w:rPr>
          <w:b/>
        </w:rPr>
        <w:t>E. 3.5</w:t>
      </w:r>
    </w:p>
    <w:p>
      <w:r>
        <w:t>Compte tenu de ce qui précède, c'est à juste titre que le Président du tribunal a ordonné l'inscription d'une restriction d'aliéner sur les immeubles litigieux. Partant, l'appel du 24 août 2023 sera rejeté et la décision du 16 août 2023 confirmée.</w:t>
      </w:r>
    </w:p>
    <w:p>
      <w:r>
        <w:t>Tribunal cantonal TC Page 7 de 7</w:t>
      </w:r>
    </w:p>
    <w:p>
      <w:r>
        <w:rPr>
          <w:b/>
        </w:rPr>
        <w:t>E. 4.1</w:t>
      </w:r>
    </w:p>
    <w:p>
      <w:r>
        <w:t>Aux termes de l'art. 106 al. 1 CPC, les frais doivent être mis à la charge de l'appelante, qui succombe. Ils comprennent notamment les frais de justice dus à l'Etat, fixés à CHF 2'500.-. Ils seront prélevés sur l'avance de frais prestée.</w:t>
      </w:r>
    </w:p>
    <w:p>
      <w:r>
        <w:rPr>
          <w:b/>
        </w:rPr>
        <w:t>E. 4.2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d'appel de l'intimée seront arrêtés globalement à la somme de CHF 1'500.-, TVA par CHF 115.50 (7.7%) en sus, et mis à la charge de l'appelante. la Cour arrête : I. L'appel (101 2023 301) est rejeté. Partant, la décision prononcée le 16 août 2023 par le Président du Tribunal civil de la Broye est confirmée. II. Les frais d'appel sont mis à la charge de A.________ Sàrl. Ils comprennent notamment les frais judiciaires dus à l’État, fixés à CHF 2'500.-. Ceux-ci seront prélevés sur l'avance de frais versée par A.________ Sàrl. A.________ Sàrl est reconnue devoir à B.________ SA à titre de dépens pour l’appel un montant de CHF 1'615.50, TVA par CHF 115.50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mai 2024/lsa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